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47" w:rsidRDefault="00362C12">
      <w:pPr>
        <w:spacing w:after="87" w:line="259" w:lineRule="auto"/>
        <w:ind w:right="-14"/>
        <w:jc w:val="right"/>
      </w:pPr>
      <w:r>
        <w:rPr>
          <w:b/>
          <w:color w:val="1F497D"/>
          <w:sz w:val="28"/>
        </w:rPr>
        <w:t>Administration</w:t>
      </w:r>
    </w:p>
    <w:p w:rsidR="00DE4347" w:rsidRDefault="00D806C2">
      <w:pPr>
        <w:spacing w:after="138" w:line="259" w:lineRule="auto"/>
        <w:ind w:right="-15"/>
        <w:jc w:val="right"/>
      </w:pPr>
      <w:r>
        <w:rPr>
          <w:color w:val="4F81BD"/>
        </w:rPr>
        <w:t>PUR</w:t>
      </w:r>
      <w:r w:rsidR="00362C12">
        <w:rPr>
          <w:color w:val="4F81BD"/>
        </w:rPr>
        <w:t>-15</w:t>
      </w:r>
    </w:p>
    <w:p w:rsidR="00DE4347" w:rsidRDefault="00362C12">
      <w:pPr>
        <w:spacing w:after="0" w:line="259" w:lineRule="auto"/>
        <w:ind w:right="-13"/>
        <w:jc w:val="right"/>
      </w:pPr>
      <w:r>
        <w:rPr>
          <w:color w:val="7F7F7F"/>
        </w:rPr>
        <w:t>Policy</w:t>
      </w:r>
    </w:p>
    <w:p w:rsidR="00DE4347" w:rsidRDefault="00362C12">
      <w:pPr>
        <w:spacing w:after="224" w:line="259" w:lineRule="auto"/>
        <w:ind w:left="-2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5080"/>
                <wp:effectExtent l="0" t="0" r="0" b="0"/>
                <wp:docPr id="615" name="Group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080"/>
                          <a:chOff x="0" y="0"/>
                          <a:chExt cx="5943600" cy="5080"/>
                        </a:xfrm>
                      </wpg:grpSpPr>
                      <wps:wsp>
                        <wps:cNvPr id="859" name="Shape 859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9116A4" id="Group 615" o:spid="_x0000_s1026" style="width:468pt;height:.4pt;mso-position-horizontal-relative:char;mso-position-vertical-relative:line" coordsize="5943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">
                <v:shape id="Shape 859" o:spid="_x0000_s1027" style="position:absolute;width:59436;height:91;visibility:visible;mso-wrap-style:square;v-text-anchor:top" coordsize="5943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93sQA&#10;AADcAAAADwAAAGRycy9kb3ducmV2LnhtbESPT2sCMRTE7wW/Q3hCbzVroaKrUVQoeBHqH9DjY/Pc&#10;LG5etklct/30Rij0OMz8ZpjZorO1aMmHyrGC4SADQVw4XXGp4Hj4fBuDCBFZY+2YFPxQgMW89zLD&#10;XLs776jdx1KkEg45KjAxNrmUoTBkMQxcQ5y8i/MWY5K+lNrjPZXbWr5n2UharDgtGGxobai47m9W&#10;wZiX56+bb79/uTWb4rjerranqNRrv1tOQUTq4n/4j97oxH1M4HkmHQ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9Pd7EAAAA3AAAAA8AAAAAAAAAAAAAAAAAmAIAAGRycy9k&#10;b3ducmV2LnhtbFBLBQYAAAAABAAEAPUAAACJAwAAAAA=&#10;" path="m,l5943600,r,9144l,9144,,e" fillcolor="#a5a5a5" stroked="f" strokeweight="0">
                  <v:stroke miterlimit="83231f" joinstyle="miter"/>
                  <v:path arrowok="t" textboxrect="0,0,5943600,9144"/>
                </v:shape>
                <w10:anchorlock/>
              </v:group>
            </w:pict>
          </mc:Fallback>
        </mc:AlternateContent>
      </w:r>
    </w:p>
    <w:p w:rsidR="00DE4347" w:rsidRDefault="00362C12">
      <w:pPr>
        <w:spacing w:after="0" w:line="259" w:lineRule="auto"/>
        <w:ind w:left="-5"/>
      </w:pPr>
      <w:r>
        <w:rPr>
          <w:sz w:val="32"/>
        </w:rPr>
        <w:t>Title: Purchasing Policy</w:t>
      </w:r>
    </w:p>
    <w:p w:rsidR="00DE4347" w:rsidRDefault="00362C12">
      <w:pPr>
        <w:ind w:left="-5"/>
      </w:pPr>
      <w:r>
        <w:t xml:space="preserve">Effective Date: </w:t>
      </w:r>
      <w:r w:rsidR="008215E6">
        <w:t>1/21/13</w:t>
      </w:r>
    </w:p>
    <w:p w:rsidR="00DE4347" w:rsidRDefault="00362C12">
      <w:pPr>
        <w:ind w:left="-5"/>
      </w:pPr>
      <w:r>
        <w:t>Authorized By: Library Board of Trustees</w:t>
      </w:r>
    </w:p>
    <w:p w:rsidR="00DE4347" w:rsidRDefault="00362C12">
      <w:pPr>
        <w:ind w:left="-5"/>
      </w:pPr>
      <w:r>
        <w:t>Date of Last Revision: 1</w:t>
      </w:r>
      <w:r w:rsidR="008215E6">
        <w:t>0/15/15</w:t>
      </w:r>
    </w:p>
    <w:p w:rsidR="00362C12" w:rsidRDefault="00362C12">
      <w:pPr>
        <w:ind w:left="-5"/>
      </w:pPr>
    </w:p>
    <w:p w:rsidR="00DE4347" w:rsidRDefault="00362C12">
      <w:pPr>
        <w:spacing w:after="209"/>
        <w:ind w:left="-5"/>
      </w:pPr>
      <w:r>
        <w:t>The library director shall serve as the “purchasing agent” for the library. The director may delegate authority to other staff members but bears the ultimate responsibility for purchases made.</w:t>
      </w:r>
    </w:p>
    <w:p w:rsidR="00DE4347" w:rsidRDefault="00362C12">
      <w:pPr>
        <w:spacing w:after="209"/>
        <w:ind w:left="-5"/>
      </w:pPr>
      <w:r>
        <w:t>In general, merchandise shall have been received before payment is remitted. It shall be the responsibility of the director to approve situations when prepayment is required by the vendor.</w:t>
      </w:r>
    </w:p>
    <w:p w:rsidR="00DE4347" w:rsidRDefault="00362C12">
      <w:pPr>
        <w:spacing w:after="207"/>
        <w:ind w:left="-5"/>
      </w:pPr>
      <w:r>
        <w:t xml:space="preserve">Nothing in this policy shall be construed as to lessen the requirements as set forth in </w:t>
      </w:r>
      <w:r w:rsidRPr="005D22CE">
        <w:rPr>
          <w:u w:val="single"/>
        </w:rPr>
        <w:t xml:space="preserve">Indiana Code </w:t>
      </w:r>
      <w:r>
        <w:t>(“</w:t>
      </w:r>
      <w:r w:rsidRPr="005D22CE">
        <w:rPr>
          <w:u w:val="single"/>
        </w:rPr>
        <w:t>The Code</w:t>
      </w:r>
      <w:r>
        <w:t xml:space="preserve">”) and explained in the State Board of </w:t>
      </w:r>
      <w:r w:rsidRPr="005D22CE">
        <w:rPr>
          <w:u w:val="single"/>
        </w:rPr>
        <w:t>Accounts Accounting and Uniform Compliance Guidelines Manual for</w:t>
      </w:r>
      <w:r>
        <w:t xml:space="preserve"> </w:t>
      </w:r>
      <w:r w:rsidRPr="005D22CE">
        <w:rPr>
          <w:u w:val="single"/>
        </w:rPr>
        <w:t>Libraries</w:t>
      </w:r>
      <w:r>
        <w:t xml:space="preserve"> (“</w:t>
      </w:r>
      <w:r w:rsidRPr="005D22CE">
        <w:rPr>
          <w:u w:val="single"/>
        </w:rPr>
        <w:t>The Manual</w:t>
      </w:r>
      <w:r>
        <w:t>”).</w:t>
      </w:r>
    </w:p>
    <w:p w:rsidR="00DE4347" w:rsidRDefault="00362C12">
      <w:pPr>
        <w:spacing w:after="19" w:line="259" w:lineRule="auto"/>
        <w:ind w:left="-5"/>
      </w:pPr>
      <w:r>
        <w:rPr>
          <w:b/>
          <w:u w:val="single" w:color="000000"/>
        </w:rPr>
        <w:t xml:space="preserve">Supplies, equipment, goods, materials </w:t>
      </w:r>
      <w:r>
        <w:t xml:space="preserve">                                                                                                                      </w:t>
      </w:r>
    </w:p>
    <w:p w:rsidR="00DE4347" w:rsidRDefault="00362C12">
      <w:pPr>
        <w:spacing w:after="207"/>
        <w:ind w:left="730"/>
      </w:pPr>
      <w:r>
        <w:t xml:space="preserve">This section shall pertain to the purchase of supplies, equipment, goods and material. It does not pertain to “library materials'” which are exempt by statute </w:t>
      </w:r>
      <w:r w:rsidR="002E56E9">
        <w:t xml:space="preserve">from the restrictions imposed </w:t>
      </w:r>
      <w:r w:rsidR="00FF744A">
        <w:t>by IC</w:t>
      </w:r>
      <w:r>
        <w:t xml:space="preserve"> 36-1-9.</w:t>
      </w:r>
    </w:p>
    <w:p w:rsidR="00DE4347" w:rsidRDefault="00362C12">
      <w:pPr>
        <w:spacing w:after="19" w:line="259" w:lineRule="auto"/>
        <w:ind w:left="-5"/>
      </w:pPr>
      <w:r>
        <w:rPr>
          <w:b/>
          <w:u w:val="single" w:color="000000"/>
        </w:rPr>
        <w:t>Purchases under $50,000</w:t>
      </w:r>
      <w:r>
        <w:t xml:space="preserve">                                                                                   </w:t>
      </w:r>
    </w:p>
    <w:p w:rsidR="00DE4347" w:rsidRDefault="00362C12">
      <w:pPr>
        <w:ind w:left="730"/>
      </w:pPr>
      <w:r>
        <w:t xml:space="preserve">Purchases of this amount require no formal bids or quotes, although comparison shopping is </w:t>
      </w:r>
    </w:p>
    <w:p w:rsidR="00DE4347" w:rsidRDefault="00362C12">
      <w:pPr>
        <w:ind w:left="-5"/>
      </w:pPr>
      <w:r>
        <w:t xml:space="preserve">encouraged.                                                                                                                                                                      </w:t>
      </w:r>
    </w:p>
    <w:p w:rsidR="00DE4347" w:rsidRDefault="00362C12">
      <w:pPr>
        <w:ind w:left="730"/>
      </w:pPr>
      <w:r>
        <w:t xml:space="preserve">Single purchases in excess of $10,000 must be approved in advance by the Board, except when </w:t>
      </w:r>
    </w:p>
    <w:p w:rsidR="00DE4347" w:rsidRDefault="00362C12">
      <w:pPr>
        <w:ind w:left="-5"/>
      </w:pPr>
      <w:r>
        <w:t xml:space="preserve">an emergency exists or unique opportunity for substantial savings exists.                                                           </w:t>
      </w:r>
    </w:p>
    <w:p w:rsidR="005D22CE" w:rsidRDefault="00362C12" w:rsidP="005D22CE">
      <w:pPr>
        <w:spacing w:after="0"/>
        <w:ind w:left="-15" w:firstLine="720"/>
      </w:pPr>
      <w:r>
        <w:t>Purchases in excess of $200.00 by a delegated staff person must be approved by the Director in advance.</w:t>
      </w:r>
    </w:p>
    <w:p w:rsidR="005D22CE" w:rsidRDefault="00362C12">
      <w:pPr>
        <w:spacing w:after="19" w:line="259" w:lineRule="auto"/>
        <w:ind w:left="-5"/>
      </w:pPr>
      <w:r>
        <w:rPr>
          <w:b/>
          <w:u w:val="single" w:color="000000"/>
        </w:rPr>
        <w:t xml:space="preserve">Purchases between $50,000 and $150,000 </w:t>
      </w:r>
      <w:r>
        <w:t xml:space="preserve"> </w:t>
      </w:r>
    </w:p>
    <w:p w:rsidR="00DE4347" w:rsidRPr="005D22CE" w:rsidRDefault="00362C12" w:rsidP="003C2A6B">
      <w:pPr>
        <w:spacing w:after="19" w:line="259" w:lineRule="auto"/>
        <w:ind w:left="0" w:firstLine="0"/>
        <w:rPr>
          <w:strike/>
        </w:rPr>
      </w:pPr>
      <w:r w:rsidRPr="005D22CE">
        <w:rPr>
          <w:strike/>
        </w:rPr>
        <w:t xml:space="preserve"> </w:t>
      </w:r>
    </w:p>
    <w:p w:rsidR="002E56E9" w:rsidRDefault="00362C12">
      <w:pPr>
        <w:ind w:left="-15" w:firstLine="720"/>
      </w:pPr>
      <w:r w:rsidRPr="003C2A6B">
        <w:t xml:space="preserve">Purchases </w:t>
      </w:r>
      <w:r w:rsidR="005D22CE" w:rsidRPr="003C2A6B">
        <w:t xml:space="preserve">in this category </w:t>
      </w:r>
      <w:r w:rsidRPr="003C2A6B">
        <w:t>generally require that quotes be solicited from at least three (3) person/businesses known to deal in the lines or classes of supplies to be purchased [IC 5-22-8-3].</w:t>
      </w:r>
      <w:r>
        <w:t xml:space="preserve">      </w:t>
      </w:r>
    </w:p>
    <w:p w:rsidR="002E56E9" w:rsidRDefault="00362C12" w:rsidP="002E56E9">
      <w:pPr>
        <w:pStyle w:val="ListParagraph"/>
        <w:numPr>
          <w:ilvl w:val="0"/>
          <w:numId w:val="1"/>
        </w:numPr>
      </w:pPr>
      <w:r>
        <w:t>An invitation to quote shall be issued by the Director, allowing at least seven (7) days</w:t>
      </w:r>
    </w:p>
    <w:p w:rsidR="00DE4347" w:rsidRDefault="00362C12" w:rsidP="002E56E9">
      <w:pPr>
        <w:ind w:left="1155" w:firstLine="0"/>
      </w:pPr>
      <w:r>
        <w:t xml:space="preserve">       before quotes are due to the library.                                                                                        </w:t>
      </w:r>
    </w:p>
    <w:p w:rsidR="00DE4347" w:rsidRDefault="002E56E9" w:rsidP="002E56E9">
      <w:pPr>
        <w:spacing w:after="19" w:line="259" w:lineRule="auto"/>
        <w:ind w:right="29"/>
        <w:jc w:val="center"/>
      </w:pPr>
      <w:r>
        <w:t xml:space="preserve">    </w:t>
      </w:r>
      <w:r w:rsidR="00362C12">
        <w:t xml:space="preserve">2.)  The director shall present responsive quotes to the Board for its review and decision. </w:t>
      </w:r>
    </w:p>
    <w:p w:rsidR="00DE4347" w:rsidRDefault="002E56E9" w:rsidP="002E56E9">
      <w:r>
        <w:t xml:space="preserve"> </w:t>
      </w:r>
      <w:r>
        <w:tab/>
        <w:t xml:space="preserve">         </w:t>
      </w:r>
      <w:r w:rsidR="00362C12">
        <w:t xml:space="preserve">3.)  If no responsive quotes are received, the library may select a vendor </w:t>
      </w:r>
      <w:r w:rsidR="00B450A1">
        <w:t>as</w:t>
      </w:r>
      <w:r w:rsidR="00362C12">
        <w:t xml:space="preserve"> though it </w:t>
      </w:r>
    </w:p>
    <w:p w:rsidR="00DE4347" w:rsidRDefault="00362C12" w:rsidP="002E56E9">
      <w:pPr>
        <w:spacing w:after="19" w:line="259" w:lineRule="auto"/>
        <w:ind w:right="4752"/>
        <w:jc w:val="center"/>
      </w:pPr>
      <w:r>
        <w:t xml:space="preserve">     </w:t>
      </w:r>
      <w:r w:rsidR="002E56E9">
        <w:t xml:space="preserve">    </w:t>
      </w:r>
      <w:r>
        <w:t xml:space="preserve"> </w:t>
      </w:r>
      <w:proofErr w:type="gramStart"/>
      <w:r>
        <w:t>were</w:t>
      </w:r>
      <w:proofErr w:type="gramEnd"/>
      <w:r>
        <w:t xml:space="preserve"> a purchase under $50,000.                                                                                                </w:t>
      </w:r>
    </w:p>
    <w:p w:rsidR="003C2A6B" w:rsidRDefault="003C2A6B" w:rsidP="00DC0A09">
      <w:pPr>
        <w:spacing w:after="87" w:line="259" w:lineRule="auto"/>
        <w:ind w:right="-14"/>
        <w:jc w:val="right"/>
        <w:rPr>
          <w:b/>
          <w:color w:val="1F497D"/>
          <w:sz w:val="28"/>
        </w:rPr>
      </w:pPr>
    </w:p>
    <w:p w:rsidR="003C2A6B" w:rsidRDefault="003C2A6B" w:rsidP="00DC0A09">
      <w:pPr>
        <w:spacing w:after="87" w:line="259" w:lineRule="auto"/>
        <w:ind w:right="-14"/>
        <w:jc w:val="right"/>
        <w:rPr>
          <w:b/>
          <w:color w:val="1F497D"/>
          <w:sz w:val="28"/>
        </w:rPr>
      </w:pPr>
    </w:p>
    <w:p w:rsidR="00DC0A09" w:rsidRDefault="00DC0A09" w:rsidP="00DC0A09">
      <w:pPr>
        <w:spacing w:after="87" w:line="259" w:lineRule="auto"/>
        <w:ind w:right="-14"/>
        <w:jc w:val="right"/>
      </w:pPr>
      <w:bookmarkStart w:id="0" w:name="_GoBack"/>
      <w:bookmarkEnd w:id="0"/>
      <w:r>
        <w:rPr>
          <w:b/>
          <w:color w:val="1F497D"/>
          <w:sz w:val="28"/>
        </w:rPr>
        <w:lastRenderedPageBreak/>
        <w:t>Administration</w:t>
      </w:r>
    </w:p>
    <w:p w:rsidR="00DC0A09" w:rsidRDefault="00D806C2" w:rsidP="00DC0A09">
      <w:pPr>
        <w:spacing w:after="138" w:line="259" w:lineRule="auto"/>
        <w:ind w:right="-15"/>
        <w:jc w:val="right"/>
      </w:pPr>
      <w:r>
        <w:rPr>
          <w:color w:val="4F81BD"/>
        </w:rPr>
        <w:t>PUR</w:t>
      </w:r>
      <w:r w:rsidR="00DC0A09">
        <w:rPr>
          <w:color w:val="4F81BD"/>
        </w:rPr>
        <w:t>-15</w:t>
      </w:r>
    </w:p>
    <w:p w:rsidR="00DC0A09" w:rsidRDefault="00DC0A09" w:rsidP="00DC0A09">
      <w:pPr>
        <w:spacing w:after="0" w:line="259" w:lineRule="auto"/>
        <w:ind w:right="-13"/>
        <w:jc w:val="right"/>
      </w:pPr>
      <w:r>
        <w:rPr>
          <w:color w:val="7F7F7F"/>
        </w:rPr>
        <w:t>Policy</w:t>
      </w:r>
    </w:p>
    <w:p w:rsidR="00DC0A09" w:rsidRDefault="00DC0A09" w:rsidP="00DC0A09">
      <w:pPr>
        <w:spacing w:after="224" w:line="259" w:lineRule="auto"/>
        <w:ind w:left="-2" w:firstLine="0"/>
      </w:pPr>
      <w:r>
        <w:rPr>
          <w:noProof/>
        </w:rPr>
        <mc:AlternateContent>
          <mc:Choice Requires="wpg">
            <w:drawing>
              <wp:inline distT="0" distB="0" distL="0" distR="0" wp14:anchorId="4253859E" wp14:editId="1939CF40">
                <wp:extent cx="5943600" cy="508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080"/>
                          <a:chOff x="0" y="0"/>
                          <a:chExt cx="5943600" cy="5080"/>
                        </a:xfrm>
                      </wpg:grpSpPr>
                      <wps:wsp>
                        <wps:cNvPr id="2" name="Shape 859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EC3F35" id="Group 1" o:spid="_x0000_s1026" style="width:468pt;height:.4pt;mso-position-horizontal-relative:char;mso-position-vertical-relative:line" coordsize="5943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">
                <v:shape id="Shape 859" o:spid="_x0000_s1027" style="position:absolute;width:59436;height:91;visibility:visible;mso-wrap-style:square;v-text-anchor:top" coordsize="5943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jy8MA&#10;AADaAAAADwAAAGRycy9kb3ducmV2LnhtbESPwWrDMBBE74X8g9hAbo2cHIJxo4Q0UMgl0DqG9rhY&#10;W8vUWjmSYrv9+qpQyHGYmTfMdj/ZTgzkQ+tYwWqZgSCunW65UVBdXh5zECEia+wck4JvCrDfzR62&#10;WGg38hsNZWxEgnAoUIGJsS+kDLUhi2HpeuLkfTpvMSbpG6k9jgluO7nOso202HJaMNjT0VD9Vd6s&#10;gpwPH683P1x/eDCnujqen8/vUanFfDo8gYg0xXv4v33SCtbwdyXd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fjy8MAAADaAAAADwAAAAAAAAAAAAAAAACYAgAAZHJzL2Rv&#10;d25yZXYueG1sUEsFBgAAAAAEAAQA9QAAAIgDAAAAAA==&#10;" path="m,l5943600,r,9144l,9144,,e" fillcolor="#a5a5a5" stroked="f" strokeweight="0">
                  <v:stroke miterlimit="83231f" joinstyle="miter"/>
                  <v:path arrowok="t" textboxrect="0,0,5943600,9144"/>
                </v:shape>
                <w10:anchorlock/>
              </v:group>
            </w:pict>
          </mc:Fallback>
        </mc:AlternateContent>
      </w:r>
    </w:p>
    <w:p w:rsidR="00DC0A09" w:rsidRDefault="00DC0A09" w:rsidP="00DC0A09">
      <w:pPr>
        <w:spacing w:after="0" w:line="259" w:lineRule="auto"/>
        <w:ind w:left="-5"/>
      </w:pPr>
      <w:r>
        <w:rPr>
          <w:sz w:val="32"/>
        </w:rPr>
        <w:t>Title: Purchasing Policy</w:t>
      </w:r>
    </w:p>
    <w:p w:rsidR="00DC0A09" w:rsidRDefault="00DC0A09" w:rsidP="00DC0A09">
      <w:pPr>
        <w:ind w:left="-5"/>
      </w:pPr>
      <w:r>
        <w:t xml:space="preserve">Effective Date: </w:t>
      </w:r>
    </w:p>
    <w:p w:rsidR="00DC0A09" w:rsidRDefault="00DC0A09" w:rsidP="00DC0A09">
      <w:pPr>
        <w:ind w:left="-5"/>
      </w:pPr>
      <w:r>
        <w:t>Authorized By: Library Board of Trustees</w:t>
      </w:r>
    </w:p>
    <w:p w:rsidR="00DC0A09" w:rsidRDefault="00DC0A09" w:rsidP="00DC0A09">
      <w:pPr>
        <w:ind w:left="-5"/>
      </w:pPr>
      <w:r>
        <w:t>Date of Last Revision: 1/21/2013</w:t>
      </w:r>
    </w:p>
    <w:p w:rsidR="00DC0A09" w:rsidRDefault="00DC0A09" w:rsidP="00362C12">
      <w:pPr>
        <w:ind w:left="720" w:firstLine="0"/>
      </w:pPr>
    </w:p>
    <w:p w:rsidR="005D22CE" w:rsidRDefault="005D22CE" w:rsidP="005D22CE">
      <w:pPr>
        <w:spacing w:after="19" w:line="259" w:lineRule="auto"/>
        <w:ind w:right="370"/>
        <w:jc w:val="center"/>
      </w:pPr>
      <w:r>
        <w:tab/>
        <w:t xml:space="preserve">  </w:t>
      </w:r>
      <w:r>
        <w:tab/>
        <w:t xml:space="preserve">  4.)  Information contained in </w:t>
      </w:r>
      <w:r>
        <w:rPr>
          <w:u w:val="single" w:color="000000"/>
        </w:rPr>
        <w:t>The Code</w:t>
      </w:r>
      <w:r>
        <w:t xml:space="preserve"> and </w:t>
      </w:r>
      <w:r>
        <w:rPr>
          <w:u w:val="single" w:color="000000"/>
        </w:rPr>
        <w:t>The Manual</w:t>
      </w:r>
      <w:r>
        <w:t xml:space="preserve"> adds further direction to this    </w:t>
      </w:r>
    </w:p>
    <w:p w:rsidR="005D22CE" w:rsidRDefault="005D22CE" w:rsidP="005D22CE">
      <w:pPr>
        <w:ind w:left="730"/>
      </w:pPr>
      <w:r>
        <w:t xml:space="preserve">                      section.                                                                                                                                          </w:t>
      </w:r>
    </w:p>
    <w:p w:rsidR="00DC0A09" w:rsidRDefault="00362C12" w:rsidP="005D22CE">
      <w:pPr>
        <w:ind w:left="730" w:firstLine="710"/>
      </w:pPr>
      <w:r>
        <w:t>5.)  The variety of exception</w:t>
      </w:r>
      <w:r w:rsidR="00B450A1">
        <w:t>s</w:t>
      </w:r>
      <w:r>
        <w:t xml:space="preserve">, preferences and exemptions stipulated in </w:t>
      </w:r>
      <w:r>
        <w:rPr>
          <w:u w:val="single" w:color="000000"/>
        </w:rPr>
        <w:t>The Code</w:t>
      </w:r>
      <w:r>
        <w:t xml:space="preserve"> and in</w:t>
      </w:r>
    </w:p>
    <w:p w:rsidR="00DE4347" w:rsidRDefault="00362C12" w:rsidP="005D22CE">
      <w:pPr>
        <w:ind w:left="1775" w:firstLine="0"/>
      </w:pPr>
      <w:r>
        <w:rPr>
          <w:u w:val="single" w:color="000000"/>
        </w:rPr>
        <w:t>The</w:t>
      </w:r>
      <w:r w:rsidR="00DC0A09">
        <w:rPr>
          <w:u w:val="single" w:color="000000"/>
        </w:rPr>
        <w:t xml:space="preserve"> </w:t>
      </w:r>
      <w:r>
        <w:rPr>
          <w:u w:val="single" w:color="000000"/>
        </w:rPr>
        <w:t>Manual</w:t>
      </w:r>
      <w:r>
        <w:t xml:space="preserve"> pertaining to purchases in excess of $150,0</w:t>
      </w:r>
      <w:r w:rsidR="00DC0A09">
        <w:t xml:space="preserve">00 may be considered when making </w:t>
      </w:r>
      <w:r>
        <w:t>purchases in this category.</w:t>
      </w:r>
    </w:p>
    <w:p w:rsidR="002E56E9" w:rsidRDefault="002E56E9" w:rsidP="002E56E9"/>
    <w:p w:rsidR="002E56E9" w:rsidRPr="002E56E9" w:rsidRDefault="002E56E9" w:rsidP="002E56E9">
      <w:pPr>
        <w:rPr>
          <w:b/>
          <w:u w:val="single"/>
        </w:rPr>
      </w:pPr>
      <w:r w:rsidRPr="002E56E9">
        <w:rPr>
          <w:b/>
          <w:u w:val="single"/>
        </w:rPr>
        <w:t>Purchases $150,000 and over</w:t>
      </w:r>
    </w:p>
    <w:p w:rsidR="002E56E9" w:rsidRDefault="002E56E9" w:rsidP="002E56E9">
      <w:pPr>
        <w:ind w:left="720" w:firstLine="0"/>
      </w:pPr>
      <w:r>
        <w:t>Purchases of this value must be pur</w:t>
      </w:r>
      <w:r w:rsidR="00B450A1">
        <w:t>chased following competitive bidd</w:t>
      </w:r>
      <w:r>
        <w:t xml:space="preserve">ing procedures, unless exempting circumstances apply. Indiana Code 5-22 and the guidelines contained in </w:t>
      </w:r>
      <w:r w:rsidRPr="002E56E9">
        <w:rPr>
          <w:u w:val="single"/>
        </w:rPr>
        <w:t>The Manual</w:t>
      </w:r>
      <w:r>
        <w:t xml:space="preserve"> will be the source of authority in this procedure.</w:t>
      </w:r>
    </w:p>
    <w:p w:rsidR="002E56E9" w:rsidRDefault="002E56E9" w:rsidP="002E56E9"/>
    <w:p w:rsidR="002E56E9" w:rsidRPr="002E56E9" w:rsidRDefault="002E56E9" w:rsidP="002E56E9">
      <w:pPr>
        <w:rPr>
          <w:b/>
          <w:u w:val="single"/>
        </w:rPr>
      </w:pPr>
      <w:r w:rsidRPr="002E56E9">
        <w:rPr>
          <w:b/>
          <w:u w:val="single"/>
        </w:rPr>
        <w:t>Services</w:t>
      </w:r>
    </w:p>
    <w:p w:rsidR="002E56E9" w:rsidRDefault="002E56E9" w:rsidP="002E56E9">
      <w:r>
        <w:tab/>
      </w:r>
      <w:r>
        <w:tab/>
        <w:t>Routine repair and maintenance shall be governed by Small Purchases Policy.</w:t>
      </w:r>
    </w:p>
    <w:p w:rsidR="002E56E9" w:rsidRDefault="002E56E9" w:rsidP="002E56E9">
      <w:pPr>
        <w:ind w:left="720"/>
      </w:pPr>
      <w:r>
        <w:tab/>
        <w:t>The variety of exceptions, preferences and exemptions stipulated in The Code and in The Manual pertaining to purchases in excess of $150,000 may be considered when making purchases in this category.</w:t>
      </w:r>
    </w:p>
    <w:p w:rsidR="002E56E9" w:rsidRDefault="002E56E9" w:rsidP="002E56E9"/>
    <w:p w:rsidR="002E56E9" w:rsidRDefault="002E56E9" w:rsidP="002E56E9">
      <w:pPr>
        <w:rPr>
          <w:b/>
          <w:u w:val="single"/>
        </w:rPr>
      </w:pPr>
      <w:r w:rsidRPr="00785995">
        <w:rPr>
          <w:b/>
          <w:u w:val="single"/>
        </w:rPr>
        <w:t>Real Estate</w:t>
      </w:r>
    </w:p>
    <w:p w:rsidR="00785995" w:rsidRDefault="00785995" w:rsidP="00785995">
      <w:pPr>
        <w:ind w:left="720" w:firstLine="0"/>
      </w:pPr>
      <w:r>
        <w:t>All purchases of real estate, improved or unimproved, shall be made only with the prior consent of the Board and shall follow all applicable state laws.</w:t>
      </w:r>
    </w:p>
    <w:p w:rsidR="00785995" w:rsidRDefault="00785995" w:rsidP="00785995"/>
    <w:p w:rsidR="00785995" w:rsidRDefault="00785995" w:rsidP="00785995">
      <w:pPr>
        <w:rPr>
          <w:b/>
          <w:u w:val="single"/>
        </w:rPr>
      </w:pPr>
      <w:r w:rsidRPr="00785995">
        <w:rPr>
          <w:b/>
          <w:u w:val="single"/>
        </w:rPr>
        <w:t>Construction</w:t>
      </w:r>
    </w:p>
    <w:p w:rsidR="00785995" w:rsidRDefault="00FF744A" w:rsidP="00FF744A">
      <w:pPr>
        <w:ind w:left="720" w:firstLine="0"/>
      </w:pPr>
      <w:r>
        <w:t xml:space="preserve">All construction, alteration or renovation on library owned or leased property with a value in excess of $25,000 shall be governed by the “public works law” at Indiana Code 36-1-12. </w:t>
      </w:r>
    </w:p>
    <w:p w:rsidR="00FF744A" w:rsidRDefault="00FF744A" w:rsidP="007919E4">
      <w:pPr>
        <w:pStyle w:val="ListParagraph"/>
        <w:numPr>
          <w:ilvl w:val="0"/>
          <w:numId w:val="2"/>
        </w:numPr>
      </w:pPr>
      <w:r>
        <w:t>There is no local Indiana business preference.</w:t>
      </w:r>
    </w:p>
    <w:p w:rsidR="00FF744A" w:rsidRDefault="00FF744A" w:rsidP="00FF744A">
      <w:pPr>
        <w:pStyle w:val="ListParagraph"/>
        <w:numPr>
          <w:ilvl w:val="0"/>
          <w:numId w:val="2"/>
        </w:numPr>
      </w:pPr>
      <w:r>
        <w:t>Bid threshold of $150,000</w:t>
      </w:r>
    </w:p>
    <w:p w:rsidR="00FF744A" w:rsidRDefault="00FF744A" w:rsidP="00FF744A">
      <w:pPr>
        <w:pStyle w:val="ListParagraph"/>
        <w:numPr>
          <w:ilvl w:val="0"/>
          <w:numId w:val="2"/>
        </w:numPr>
      </w:pPr>
      <w:r>
        <w:t xml:space="preserve">IC 36-1-12-4.9 Routine repair maintenance under $150,000 </w:t>
      </w:r>
    </w:p>
    <w:p w:rsidR="00FF744A" w:rsidRDefault="00FF744A" w:rsidP="00FF744A">
      <w:pPr>
        <w:pStyle w:val="ListParagraph"/>
        <w:ind w:left="2160" w:firstLine="0"/>
      </w:pPr>
      <w:r>
        <w:t>Purchase according to Library Small Purchasing Policy.</w:t>
      </w:r>
    </w:p>
    <w:p w:rsidR="005D22CE" w:rsidRDefault="005D22CE" w:rsidP="00FF744A">
      <w:pPr>
        <w:pStyle w:val="ListParagraph"/>
        <w:ind w:left="2160" w:firstLine="0"/>
      </w:pPr>
    </w:p>
    <w:p w:rsidR="00DC0A09" w:rsidRDefault="00DC0A09" w:rsidP="00FF744A">
      <w:pPr>
        <w:pStyle w:val="ListParagraph"/>
        <w:ind w:left="2160" w:firstLine="0"/>
      </w:pPr>
    </w:p>
    <w:p w:rsidR="00DC0A09" w:rsidRDefault="00DC0A09" w:rsidP="00FF744A">
      <w:pPr>
        <w:pStyle w:val="ListParagraph"/>
        <w:ind w:left="2160" w:firstLine="0"/>
      </w:pPr>
    </w:p>
    <w:p w:rsidR="00DC0A09" w:rsidRDefault="00DC0A09" w:rsidP="00DC0A09">
      <w:pPr>
        <w:spacing w:after="87" w:line="259" w:lineRule="auto"/>
        <w:ind w:right="-14"/>
        <w:jc w:val="right"/>
      </w:pPr>
      <w:r>
        <w:rPr>
          <w:b/>
          <w:color w:val="1F497D"/>
          <w:sz w:val="28"/>
        </w:rPr>
        <w:lastRenderedPageBreak/>
        <w:t>Administration</w:t>
      </w:r>
    </w:p>
    <w:p w:rsidR="00DC0A09" w:rsidRDefault="00D806C2" w:rsidP="00DC0A09">
      <w:pPr>
        <w:spacing w:after="138" w:line="259" w:lineRule="auto"/>
        <w:ind w:right="-15"/>
        <w:jc w:val="right"/>
      </w:pPr>
      <w:r>
        <w:rPr>
          <w:color w:val="4F81BD"/>
        </w:rPr>
        <w:t>PUR</w:t>
      </w:r>
      <w:r w:rsidR="00DC0A09">
        <w:rPr>
          <w:color w:val="4F81BD"/>
        </w:rPr>
        <w:t>-15</w:t>
      </w:r>
    </w:p>
    <w:p w:rsidR="00DC0A09" w:rsidRDefault="00DC0A09" w:rsidP="00DC0A09">
      <w:pPr>
        <w:spacing w:after="0" w:line="259" w:lineRule="auto"/>
        <w:ind w:right="-13"/>
        <w:jc w:val="right"/>
      </w:pPr>
      <w:r>
        <w:rPr>
          <w:color w:val="7F7F7F"/>
        </w:rPr>
        <w:t>Policy</w:t>
      </w:r>
    </w:p>
    <w:p w:rsidR="00DC0A09" w:rsidRDefault="00DC0A09" w:rsidP="00DC0A09">
      <w:pPr>
        <w:spacing w:after="224" w:line="259" w:lineRule="auto"/>
        <w:ind w:left="-2" w:firstLine="0"/>
      </w:pPr>
      <w:r>
        <w:rPr>
          <w:noProof/>
        </w:rPr>
        <mc:AlternateContent>
          <mc:Choice Requires="wpg">
            <w:drawing>
              <wp:inline distT="0" distB="0" distL="0" distR="0" wp14:anchorId="562A8057" wp14:editId="378A7C9F">
                <wp:extent cx="5943600" cy="508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080"/>
                          <a:chOff x="0" y="0"/>
                          <a:chExt cx="5943600" cy="5080"/>
                        </a:xfrm>
                      </wpg:grpSpPr>
                      <wps:wsp>
                        <wps:cNvPr id="4" name="Shape 859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E66FE06" id="Group 3" o:spid="_x0000_s1026" style="width:468pt;height:.4pt;mso-position-horizontal-relative:char;mso-position-vertical-relative:line" coordsize="5943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">
                <v:shape id="Shape 859" o:spid="_x0000_s1027" style="position:absolute;width:59436;height:91;visibility:visible;mso-wrap-style:square;v-text-anchor:top" coordsize="5943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eJMIA&#10;AADaAAAADwAAAGRycy9kb3ducmV2LnhtbESPQWsCMRSE7wX/Q3iCt5pVpMjWKFYQvAjWLujxsXnd&#10;LN28rElcV3+9KRR6HGbmG2ax6m0jOvKhdqxgMs5AEJdO11wpKL62r3MQISJrbByTgjsFWC0HLwvM&#10;tbvxJ3XHWIkE4ZCjAhNjm0sZSkMWw9i1xMn7dt5iTNJXUnu8Jbht5DTL3qTFmtOCwZY2hsqf49Uq&#10;mPP6fLj67vLgzuzKYrP/2J+iUqNhv34HEamP/+G/9k4rmMHvlX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t4kwgAAANoAAAAPAAAAAAAAAAAAAAAAAJgCAABkcnMvZG93&#10;bnJldi54bWxQSwUGAAAAAAQABAD1AAAAhwMAAAAA&#10;" path="m,l5943600,r,9144l,9144,,e" fillcolor="#a5a5a5" stroked="f" strokeweight="0">
                  <v:stroke miterlimit="83231f" joinstyle="miter"/>
                  <v:path arrowok="t" textboxrect="0,0,5943600,9144"/>
                </v:shape>
                <w10:anchorlock/>
              </v:group>
            </w:pict>
          </mc:Fallback>
        </mc:AlternateContent>
      </w:r>
    </w:p>
    <w:p w:rsidR="00DC0A09" w:rsidRDefault="00DC0A09" w:rsidP="00DC0A09">
      <w:pPr>
        <w:spacing w:after="0" w:line="259" w:lineRule="auto"/>
        <w:ind w:left="-5"/>
      </w:pPr>
      <w:r>
        <w:rPr>
          <w:sz w:val="32"/>
        </w:rPr>
        <w:t>Title: Purchasing Policy</w:t>
      </w:r>
    </w:p>
    <w:p w:rsidR="00DC0A09" w:rsidRDefault="00DC0A09" w:rsidP="00DC0A09">
      <w:pPr>
        <w:ind w:left="-5"/>
      </w:pPr>
      <w:r>
        <w:t xml:space="preserve">Effective Date: </w:t>
      </w:r>
    </w:p>
    <w:p w:rsidR="00DC0A09" w:rsidRDefault="00DC0A09" w:rsidP="00DC0A09">
      <w:pPr>
        <w:ind w:left="-5"/>
      </w:pPr>
      <w:r>
        <w:t>Authorized By: Library Board of Trustees</w:t>
      </w:r>
    </w:p>
    <w:p w:rsidR="00DC0A09" w:rsidRDefault="00DC0A09" w:rsidP="00DC0A09">
      <w:pPr>
        <w:ind w:left="-5"/>
      </w:pPr>
      <w:r>
        <w:t>Date of Last Revision: 1/21/2013</w:t>
      </w:r>
    </w:p>
    <w:p w:rsidR="000C09E7" w:rsidRDefault="000C09E7" w:rsidP="00DC0A09">
      <w:pPr>
        <w:ind w:left="-5"/>
      </w:pPr>
    </w:p>
    <w:p w:rsidR="000C09E7" w:rsidRDefault="000C09E7" w:rsidP="000C09E7">
      <w:r>
        <w:t xml:space="preserve">              4.)  New Construction under $150,000 (IC 36-1-12-5)</w:t>
      </w:r>
    </w:p>
    <w:p w:rsidR="000C09E7" w:rsidRDefault="000C09E7" w:rsidP="000C09E7">
      <w:r>
        <w:t xml:space="preserve">                        Library must obtain at least three (3) quotes by mail.</w:t>
      </w:r>
    </w:p>
    <w:p w:rsidR="000C09E7" w:rsidRDefault="000C09E7" w:rsidP="000C09E7">
      <w:r>
        <w:t xml:space="preserve">                        For projects under $25,000, quotes may be solicited by telephone or fax.</w:t>
      </w:r>
    </w:p>
    <w:p w:rsidR="00DC0A09" w:rsidRDefault="007919E4" w:rsidP="00DC0A09">
      <w:pPr>
        <w:ind w:left="720" w:firstLine="0"/>
      </w:pPr>
      <w:r>
        <w:t xml:space="preserve">5.) </w:t>
      </w:r>
      <w:r w:rsidR="00DC0A09">
        <w:t xml:space="preserve"> </w:t>
      </w:r>
      <w:r w:rsidR="00FF744A">
        <w:t xml:space="preserve">Financial Statement, Statement of Experience, Proposed Plan and the Equipment </w:t>
      </w:r>
      <w:r w:rsidR="00281FFE">
        <w:t>the bidder has</w:t>
      </w:r>
    </w:p>
    <w:p w:rsidR="00FF744A" w:rsidRDefault="00281FFE" w:rsidP="000C09E7">
      <w:pPr>
        <w:ind w:left="1170" w:firstLine="0"/>
      </w:pPr>
      <w:proofErr w:type="gramStart"/>
      <w:r>
        <w:t>available</w:t>
      </w:r>
      <w:proofErr w:type="gramEnd"/>
      <w:r>
        <w:t xml:space="preserve"> for the project now required for all projects of </w:t>
      </w:r>
      <w:r w:rsidR="000C09E7" w:rsidRPr="003C2A6B">
        <w:t>$100,000</w:t>
      </w:r>
      <w:r>
        <w:t xml:space="preserve"> or more, effective July 1, 2012</w:t>
      </w:r>
      <w:r w:rsidR="000C09E7" w:rsidRPr="003C2A6B">
        <w:t>, IC 36-1-12-4 (b)(6).</w:t>
      </w:r>
    </w:p>
    <w:p w:rsidR="007919E4" w:rsidRDefault="007919E4" w:rsidP="007919E4">
      <w:pPr>
        <w:ind w:left="720" w:firstLine="0"/>
      </w:pPr>
      <w:r>
        <w:t xml:space="preserve">6.) </w:t>
      </w:r>
      <w:r w:rsidR="00281FFE">
        <w:t xml:space="preserve">(IC 5-16-7) after January 1, 2013 projects of less than $350,000 are not subject to the Common </w:t>
      </w:r>
    </w:p>
    <w:p w:rsidR="00281FFE" w:rsidRDefault="007919E4" w:rsidP="007919E4">
      <w:pPr>
        <w:ind w:left="720" w:firstLine="0"/>
      </w:pPr>
      <w:r>
        <w:t xml:space="preserve">         </w:t>
      </w:r>
      <w:r w:rsidR="00281FFE">
        <w:t>Construction Wage Law.</w:t>
      </w:r>
    </w:p>
    <w:p w:rsidR="00281FFE" w:rsidRDefault="00281FFE" w:rsidP="00281FFE"/>
    <w:p w:rsidR="00281FFE" w:rsidRPr="00281FFE" w:rsidRDefault="00281FFE" w:rsidP="00281FFE">
      <w:pPr>
        <w:rPr>
          <w:b/>
          <w:u w:val="single"/>
        </w:rPr>
      </w:pPr>
      <w:r w:rsidRPr="00281FFE">
        <w:rPr>
          <w:b/>
          <w:u w:val="single"/>
        </w:rPr>
        <w:t>In General</w:t>
      </w:r>
    </w:p>
    <w:p w:rsidR="00281FFE" w:rsidRDefault="00281FFE" w:rsidP="007919E4">
      <w:pPr>
        <w:pStyle w:val="ListParagraph"/>
        <w:numPr>
          <w:ilvl w:val="0"/>
          <w:numId w:val="3"/>
        </w:numPr>
      </w:pPr>
      <w:r>
        <w:t>Library may require “bid” or “performance” bonds.</w:t>
      </w:r>
    </w:p>
    <w:p w:rsidR="00281FFE" w:rsidRDefault="00281FFE" w:rsidP="00281FFE">
      <w:pPr>
        <w:pStyle w:val="ListParagraph"/>
        <w:numPr>
          <w:ilvl w:val="0"/>
          <w:numId w:val="3"/>
        </w:numPr>
      </w:pPr>
      <w:r>
        <w:t>A prescribed, pre-printed form for bids on equipment, supplies, etc., is not required; the library shall prescribe the information to be provided by prospective vendors.</w:t>
      </w:r>
    </w:p>
    <w:p w:rsidR="00281FFE" w:rsidRDefault="00281FFE" w:rsidP="00281FFE">
      <w:pPr>
        <w:pStyle w:val="ListParagraph"/>
        <w:numPr>
          <w:ilvl w:val="0"/>
          <w:numId w:val="3"/>
        </w:numPr>
      </w:pPr>
      <w:r>
        <w:t>The library may allow increased compensation for early performance, or penalties for late performance.</w:t>
      </w:r>
    </w:p>
    <w:p w:rsidR="00281FFE" w:rsidRDefault="00281FFE" w:rsidP="00281FFE">
      <w:pPr>
        <w:pStyle w:val="ListParagraph"/>
        <w:numPr>
          <w:ilvl w:val="0"/>
          <w:numId w:val="3"/>
        </w:numPr>
      </w:pPr>
      <w:r>
        <w:t>Contracts may be renewed, but not for a period longer than the term of the original contract. If the original contract contains provision for escalation of price, however, it may not be renewed.</w:t>
      </w:r>
    </w:p>
    <w:p w:rsidR="00FF744A" w:rsidRPr="00785995" w:rsidRDefault="00FF744A" w:rsidP="00FF744A">
      <w:pPr>
        <w:pStyle w:val="ListParagraph"/>
        <w:ind w:left="2160" w:firstLine="0"/>
      </w:pPr>
    </w:p>
    <w:p w:rsidR="00785995" w:rsidRPr="00785995" w:rsidRDefault="00785995" w:rsidP="00785995">
      <w:pPr>
        <w:ind w:left="720" w:firstLine="0"/>
      </w:pPr>
    </w:p>
    <w:p w:rsidR="002E56E9" w:rsidRDefault="002E56E9" w:rsidP="002E56E9">
      <w:r>
        <w:tab/>
      </w:r>
      <w:r>
        <w:tab/>
      </w:r>
    </w:p>
    <w:sectPr w:rsidR="002E56E9" w:rsidSect="002E56E9">
      <w:headerReference w:type="default" r:id="rId8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FE" w:rsidRDefault="00281FFE" w:rsidP="00281FFE">
      <w:pPr>
        <w:spacing w:after="0" w:line="240" w:lineRule="auto"/>
      </w:pPr>
      <w:r>
        <w:separator/>
      </w:r>
    </w:p>
  </w:endnote>
  <w:endnote w:type="continuationSeparator" w:id="0">
    <w:p w:rsidR="00281FFE" w:rsidRDefault="00281FFE" w:rsidP="0028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FE" w:rsidRDefault="00281FFE" w:rsidP="00281FFE">
      <w:pPr>
        <w:spacing w:after="0" w:line="240" w:lineRule="auto"/>
      </w:pPr>
      <w:r>
        <w:separator/>
      </w:r>
    </w:p>
  </w:footnote>
  <w:footnote w:type="continuationSeparator" w:id="0">
    <w:p w:rsidR="00281FFE" w:rsidRDefault="00281FFE" w:rsidP="0028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FE" w:rsidRDefault="00281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0EC"/>
    <w:multiLevelType w:val="hybridMultilevel"/>
    <w:tmpl w:val="86A0084E"/>
    <w:lvl w:ilvl="0" w:tplc="F5FA21F6">
      <w:start w:val="1"/>
      <w:numFmt w:val="decimal"/>
      <w:lvlText w:val="%1.)"/>
      <w:lvlJc w:val="left"/>
      <w:pPr>
        <w:ind w:left="108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A6A9F"/>
    <w:multiLevelType w:val="hybridMultilevel"/>
    <w:tmpl w:val="B8D09D8C"/>
    <w:lvl w:ilvl="0" w:tplc="147C158E">
      <w:start w:val="1"/>
      <w:numFmt w:val="decimal"/>
      <w:lvlText w:val="%1.)"/>
      <w:lvlJc w:val="left"/>
      <w:pPr>
        <w:ind w:left="180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675E21"/>
    <w:multiLevelType w:val="hybridMultilevel"/>
    <w:tmpl w:val="29088A60"/>
    <w:lvl w:ilvl="0" w:tplc="147C158E">
      <w:start w:val="1"/>
      <w:numFmt w:val="decimal"/>
      <w:lvlText w:val="%1.)"/>
      <w:lvlJc w:val="left"/>
      <w:pPr>
        <w:ind w:left="180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BA1F7A"/>
    <w:multiLevelType w:val="hybridMultilevel"/>
    <w:tmpl w:val="6FACB7A6"/>
    <w:lvl w:ilvl="0" w:tplc="00E82B1E">
      <w:start w:val="1"/>
      <w:numFmt w:val="decimal"/>
      <w:lvlText w:val="%1.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47"/>
    <w:rsid w:val="000C09E7"/>
    <w:rsid w:val="00281FFE"/>
    <w:rsid w:val="002E56E9"/>
    <w:rsid w:val="00362C12"/>
    <w:rsid w:val="003C2A6B"/>
    <w:rsid w:val="005D22CE"/>
    <w:rsid w:val="00785995"/>
    <w:rsid w:val="007919E4"/>
    <w:rsid w:val="008215E6"/>
    <w:rsid w:val="00B450A1"/>
    <w:rsid w:val="00D806C2"/>
    <w:rsid w:val="00DC0A09"/>
    <w:rsid w:val="00DE4347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12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E5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8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F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12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E5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8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Circulation</vt:lpstr>
    </vt:vector>
  </TitlesOfParts>
  <Company>HCPL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Circulation</dc:title>
  <dc:subject>LIB-14</dc:subject>
  <dc:creator>Policy</dc:creator>
  <cp:lastModifiedBy>Rebecca Lemons</cp:lastModifiedBy>
  <cp:revision>4</cp:revision>
  <cp:lastPrinted>2015-07-13T15:23:00Z</cp:lastPrinted>
  <dcterms:created xsi:type="dcterms:W3CDTF">2015-10-15T18:51:00Z</dcterms:created>
  <dcterms:modified xsi:type="dcterms:W3CDTF">2016-01-25T16:33:00Z</dcterms:modified>
</cp:coreProperties>
</file>